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881" w:rsidRPr="008100C7" w:rsidRDefault="006E0881" w:rsidP="008100C7">
      <w:pPr>
        <w:jc w:val="center"/>
        <w:rPr>
          <w:b/>
        </w:rPr>
      </w:pPr>
      <w:bookmarkStart w:id="0" w:name="_GoBack"/>
      <w:bookmarkEnd w:id="0"/>
      <w:r w:rsidRPr="008100C7">
        <w:rPr>
          <w:b/>
        </w:rPr>
        <w:t>RAPORT Z KONSULTACJI</w:t>
      </w:r>
    </w:p>
    <w:p w:rsidR="006E0881" w:rsidRPr="008100C7" w:rsidRDefault="008100C7" w:rsidP="008100C7">
      <w:pPr>
        <w:jc w:val="center"/>
        <w:rPr>
          <w:b/>
        </w:rPr>
      </w:pPr>
      <w:r w:rsidRPr="008100C7">
        <w:rPr>
          <w:b/>
        </w:rPr>
        <w:t xml:space="preserve">projektu </w:t>
      </w:r>
      <w:r w:rsidR="006E0881" w:rsidRPr="008100C7">
        <w:rPr>
          <w:b/>
        </w:rPr>
        <w:t>ustawy o zmianie ustawy o dowodach osobistych oraz niekt</w:t>
      </w:r>
      <w:r w:rsidRPr="008100C7">
        <w:rPr>
          <w:b/>
        </w:rPr>
        <w:t xml:space="preserve">órych </w:t>
      </w:r>
      <w:r w:rsidR="006E0881" w:rsidRPr="008100C7">
        <w:rPr>
          <w:b/>
        </w:rPr>
        <w:t>innych ustaw</w:t>
      </w:r>
      <w:r w:rsidR="00983C75">
        <w:rPr>
          <w:b/>
        </w:rPr>
        <w:t xml:space="preserve"> (</w:t>
      </w:r>
      <w:r w:rsidR="00983C75" w:rsidRPr="00983C75">
        <w:rPr>
          <w:b/>
        </w:rPr>
        <w:t>UC57</w:t>
      </w:r>
      <w:r w:rsidR="00983C75">
        <w:rPr>
          <w:b/>
        </w:rPr>
        <w:t>)</w:t>
      </w:r>
    </w:p>
    <w:p w:rsidR="00C3592E" w:rsidRDefault="00C3592E" w:rsidP="00C3592E">
      <w:pPr>
        <w:spacing w:before="120"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1. Informacje ogólne</w:t>
      </w:r>
    </w:p>
    <w:p w:rsidR="00C3592E" w:rsidRPr="00C3592E" w:rsidRDefault="00C3592E" w:rsidP="00C3592E">
      <w:pPr>
        <w:jc w:val="both"/>
      </w:pPr>
      <w:r w:rsidRPr="00C3592E">
        <w:t>Zgodnie z § 36 uchwały nr 190 Rady Ministrów z dnia 29 października 2013 r. – Regulamin pracy Rady Ministrów (M. P. z 2016 r. poz. 1006, z późn. zm.) projekty założeń projektów ustaw, projekty ustaw lub projekty rozporządzeń przedstawia się do konsultacji p</w:t>
      </w:r>
      <w:r>
        <w:t>ublicznych, w tym konsultacji z </w:t>
      </w:r>
      <w:r w:rsidRPr="00C3592E">
        <w:t xml:space="preserve">organizacjami społecznymi lub innymi zainteresowanymi podmiotami albo instytucjami w celu przedstawienia ich stanowiska. Niniejszy dokument stanowi wypełnienie obowiązku, o którym mowa w § 51 ust. 1 Regulaminu, zgodnie z którym organ wnioskujący sporządza raport z konsultacji obejmujący omówienie wyników przeprowadzonych konsultacji publicznych i opiniowania. </w:t>
      </w:r>
    </w:p>
    <w:p w:rsidR="00C3592E" w:rsidRDefault="00C3592E" w:rsidP="00C3592E">
      <w:pPr>
        <w:jc w:val="both"/>
      </w:pPr>
      <w:r>
        <w:t>Stosownie do wymogów art. 5 ustawy z dnia 7 lipca 2005 r. o działalności lobbingowej w procesie stanowienia prawa (Dz.</w:t>
      </w:r>
      <w:r w:rsidR="00DB530E">
        <w:t xml:space="preserve"> </w:t>
      </w:r>
      <w:r>
        <w:t xml:space="preserve">U. z 2017 r. poz. 248), projekt został zamieszczony w Biuletynie Informacji Publicznej Ministerstwa Spraw Wewnętrznych i Administracji. Ponadto, zgodnie z </w:t>
      </w:r>
      <w:r w:rsidRPr="00D64680">
        <w:t xml:space="preserve">§ </w:t>
      </w:r>
      <w:r>
        <w:t>52 ust. 1 uchwały nr 190 Rady Ministrów z dnia 29 października 2013 r. - Regulamin pracy Rady Ministrów, projekt ustawy został udostępniony w Biuletynie informacji Publicznej Rządowego Centrum Legislacji.</w:t>
      </w:r>
    </w:p>
    <w:p w:rsidR="00C3592E" w:rsidRDefault="00C3592E" w:rsidP="00C3592E">
      <w:pPr>
        <w:spacing w:before="120"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2. Przebieg konsultacji i opiniowania</w:t>
      </w:r>
    </w:p>
    <w:p w:rsidR="006E0881" w:rsidRDefault="00C3592E" w:rsidP="007C1C83">
      <w:pPr>
        <w:jc w:val="both"/>
      </w:pPr>
      <w:r>
        <w:t>P</w:t>
      </w:r>
      <w:r w:rsidR="006E0881">
        <w:t xml:space="preserve">rojekt </w:t>
      </w:r>
      <w:r>
        <w:t xml:space="preserve">ustawy </w:t>
      </w:r>
      <w:r w:rsidR="006E0881">
        <w:t>zosta</w:t>
      </w:r>
      <w:r w:rsidR="008100C7">
        <w:t>ł</w:t>
      </w:r>
      <w:r w:rsidR="006E0881">
        <w:t xml:space="preserve"> skierowany </w:t>
      </w:r>
      <w:r w:rsidR="000D1F11" w:rsidRPr="000D1F11">
        <w:t xml:space="preserve">do </w:t>
      </w:r>
      <w:r w:rsidR="000D1F11" w:rsidRPr="00C3592E">
        <w:rPr>
          <w:u w:val="single"/>
        </w:rPr>
        <w:t>konsultacji publicznych</w:t>
      </w:r>
      <w:r w:rsidR="000D1F11" w:rsidRPr="000D1F11">
        <w:t xml:space="preserve"> </w:t>
      </w:r>
      <w:r>
        <w:t xml:space="preserve">na okres 21 dni </w:t>
      </w:r>
      <w:r w:rsidR="000D1F11" w:rsidRPr="000D1F11">
        <w:t xml:space="preserve">do następujących podmiotów: </w:t>
      </w:r>
    </w:p>
    <w:p w:rsidR="000D1F11" w:rsidRPr="000D1F11" w:rsidRDefault="000D1F11" w:rsidP="00DB530E">
      <w:pPr>
        <w:numPr>
          <w:ilvl w:val="0"/>
          <w:numId w:val="1"/>
        </w:numPr>
        <w:spacing w:after="0"/>
        <w:ind w:left="714" w:hanging="357"/>
        <w:jc w:val="both"/>
      </w:pPr>
      <w:r w:rsidRPr="000D1F11">
        <w:t xml:space="preserve">Fundacja Centrum Cyfrowe, </w:t>
      </w:r>
    </w:p>
    <w:p w:rsidR="000D1F11" w:rsidRPr="000D1F11" w:rsidRDefault="000D1F11" w:rsidP="00DB530E">
      <w:pPr>
        <w:numPr>
          <w:ilvl w:val="0"/>
          <w:numId w:val="1"/>
        </w:numPr>
        <w:spacing w:after="0"/>
        <w:ind w:left="714" w:hanging="357"/>
        <w:jc w:val="both"/>
      </w:pPr>
      <w:r w:rsidRPr="000D1F11">
        <w:t xml:space="preserve">Fundacja Bezpieczeństwa Informacji Polska, </w:t>
      </w:r>
    </w:p>
    <w:p w:rsidR="000D1F11" w:rsidRPr="000D1F11" w:rsidRDefault="000D1F11" w:rsidP="00DB530E">
      <w:pPr>
        <w:numPr>
          <w:ilvl w:val="0"/>
          <w:numId w:val="1"/>
        </w:numPr>
        <w:spacing w:after="0"/>
        <w:ind w:left="714" w:hanging="357"/>
        <w:jc w:val="both"/>
      </w:pPr>
      <w:r w:rsidRPr="000D1F11">
        <w:t xml:space="preserve">Fundacja ePaństwo, </w:t>
      </w:r>
    </w:p>
    <w:p w:rsidR="000D1F11" w:rsidRPr="000D1F11" w:rsidRDefault="000D1F11" w:rsidP="00DB530E">
      <w:pPr>
        <w:numPr>
          <w:ilvl w:val="0"/>
          <w:numId w:val="1"/>
        </w:numPr>
        <w:spacing w:after="0"/>
        <w:ind w:left="714" w:hanging="357"/>
        <w:jc w:val="both"/>
      </w:pPr>
      <w:r w:rsidRPr="000D1F11">
        <w:t xml:space="preserve">Fundacja Nowoczesna Polska, </w:t>
      </w:r>
    </w:p>
    <w:p w:rsidR="000D1F11" w:rsidRPr="000D1F11" w:rsidRDefault="000D1F11" w:rsidP="00DB530E">
      <w:pPr>
        <w:numPr>
          <w:ilvl w:val="0"/>
          <w:numId w:val="1"/>
        </w:numPr>
        <w:spacing w:after="0"/>
        <w:ind w:left="714" w:hanging="357"/>
        <w:jc w:val="both"/>
      </w:pPr>
      <w:r w:rsidRPr="000D1F11">
        <w:t xml:space="preserve">Fundacja Panoptykon, </w:t>
      </w:r>
    </w:p>
    <w:p w:rsidR="000D1F11" w:rsidRPr="000D1F11" w:rsidRDefault="000D1F11" w:rsidP="00DB530E">
      <w:pPr>
        <w:numPr>
          <w:ilvl w:val="0"/>
          <w:numId w:val="1"/>
        </w:numPr>
        <w:spacing w:after="0"/>
        <w:ind w:left="714" w:hanging="357"/>
        <w:jc w:val="both"/>
      </w:pPr>
      <w:r w:rsidRPr="000D1F11">
        <w:t>Fundacja Batorego,</w:t>
      </w:r>
    </w:p>
    <w:p w:rsidR="000D1F11" w:rsidRPr="000D1F11" w:rsidRDefault="000D1F11" w:rsidP="00DB530E">
      <w:pPr>
        <w:numPr>
          <w:ilvl w:val="0"/>
          <w:numId w:val="1"/>
        </w:numPr>
        <w:spacing w:after="0"/>
        <w:ind w:left="714" w:hanging="357"/>
        <w:jc w:val="both"/>
      </w:pPr>
      <w:r w:rsidRPr="000D1F11">
        <w:t xml:space="preserve">Izba Gospodarki Elektronicznej, </w:t>
      </w:r>
    </w:p>
    <w:p w:rsidR="000D1F11" w:rsidRPr="000D1F11" w:rsidRDefault="000D1F11" w:rsidP="00DB530E">
      <w:pPr>
        <w:numPr>
          <w:ilvl w:val="0"/>
          <w:numId w:val="1"/>
        </w:numPr>
        <w:spacing w:after="0"/>
        <w:ind w:left="714" w:hanging="357"/>
        <w:jc w:val="both"/>
      </w:pPr>
      <w:r w:rsidRPr="000D1F11">
        <w:t xml:space="preserve">Krajowa Izba Gospodarcza Elektroniki i Telekomunikacji, </w:t>
      </w:r>
    </w:p>
    <w:p w:rsidR="000D1F11" w:rsidRPr="000D1F11" w:rsidRDefault="000D1F11" w:rsidP="00DB530E">
      <w:pPr>
        <w:numPr>
          <w:ilvl w:val="0"/>
          <w:numId w:val="1"/>
        </w:numPr>
        <w:spacing w:after="0"/>
        <w:ind w:left="714" w:hanging="357"/>
        <w:jc w:val="both"/>
      </w:pPr>
      <w:r w:rsidRPr="000D1F11">
        <w:t xml:space="preserve">Ogólnopolskie Porozumienie Organizacji Samorządowych, </w:t>
      </w:r>
    </w:p>
    <w:p w:rsidR="000D1F11" w:rsidRPr="000D1F11" w:rsidRDefault="000D1F11" w:rsidP="00DB530E">
      <w:pPr>
        <w:numPr>
          <w:ilvl w:val="0"/>
          <w:numId w:val="1"/>
        </w:numPr>
        <w:spacing w:after="0"/>
        <w:ind w:left="714" w:hanging="357"/>
        <w:jc w:val="both"/>
      </w:pPr>
      <w:r w:rsidRPr="000D1F11">
        <w:t xml:space="preserve">Polska Izba Informatyki i Telekomunikacji, </w:t>
      </w:r>
    </w:p>
    <w:p w:rsidR="000D1F11" w:rsidRPr="000D1F11" w:rsidRDefault="000D1F11" w:rsidP="00DB530E">
      <w:pPr>
        <w:numPr>
          <w:ilvl w:val="0"/>
          <w:numId w:val="1"/>
        </w:numPr>
        <w:spacing w:after="0"/>
        <w:ind w:left="714" w:hanging="357"/>
        <w:jc w:val="both"/>
      </w:pPr>
      <w:r w:rsidRPr="000D1F11">
        <w:t xml:space="preserve">Polska Izba Komunikacji Elektronicznej, </w:t>
      </w:r>
    </w:p>
    <w:p w:rsidR="000D1F11" w:rsidRPr="000D1F11" w:rsidRDefault="000D1F11" w:rsidP="00DB530E">
      <w:pPr>
        <w:numPr>
          <w:ilvl w:val="0"/>
          <w:numId w:val="1"/>
        </w:numPr>
        <w:spacing w:after="0"/>
        <w:ind w:left="714" w:hanging="357"/>
        <w:jc w:val="both"/>
      </w:pPr>
      <w:r w:rsidRPr="000D1F11">
        <w:t xml:space="preserve">Polskie Towarzystwo Informatyczne, </w:t>
      </w:r>
    </w:p>
    <w:p w:rsidR="000D1F11" w:rsidRPr="000D1F11" w:rsidRDefault="000D1F11" w:rsidP="00DB530E">
      <w:pPr>
        <w:numPr>
          <w:ilvl w:val="0"/>
          <w:numId w:val="1"/>
        </w:numPr>
        <w:spacing w:after="0"/>
        <w:ind w:left="714" w:hanging="357"/>
        <w:jc w:val="both"/>
      </w:pPr>
      <w:r w:rsidRPr="000D1F11">
        <w:t xml:space="preserve">SABI - Stowarzyszenie Inspektorów Ochrony Danych, </w:t>
      </w:r>
    </w:p>
    <w:p w:rsidR="000D1F11" w:rsidRPr="000D1F11" w:rsidRDefault="000D1F11" w:rsidP="00DB530E">
      <w:pPr>
        <w:numPr>
          <w:ilvl w:val="0"/>
          <w:numId w:val="1"/>
        </w:numPr>
        <w:spacing w:after="0"/>
        <w:ind w:left="714" w:hanging="357"/>
        <w:jc w:val="both"/>
      </w:pPr>
      <w:r w:rsidRPr="000D1F11">
        <w:t xml:space="preserve">Stowarzyszenie Instytutu Informatyki Śledczej, </w:t>
      </w:r>
    </w:p>
    <w:p w:rsidR="000D1F11" w:rsidRPr="000D1F11" w:rsidRDefault="000D1F11" w:rsidP="00DB530E">
      <w:pPr>
        <w:numPr>
          <w:ilvl w:val="0"/>
          <w:numId w:val="1"/>
        </w:numPr>
        <w:spacing w:after="0"/>
        <w:ind w:left="714" w:hanging="357"/>
        <w:jc w:val="both"/>
      </w:pPr>
      <w:r w:rsidRPr="000D1F11">
        <w:t xml:space="preserve">Stowarzyszenie Inspektorów Ochrony Danych Osobowych, </w:t>
      </w:r>
    </w:p>
    <w:p w:rsidR="000D1F11" w:rsidRPr="000D1F11" w:rsidRDefault="000D1F11" w:rsidP="00DB530E">
      <w:pPr>
        <w:numPr>
          <w:ilvl w:val="0"/>
          <w:numId w:val="1"/>
        </w:numPr>
        <w:spacing w:after="0"/>
        <w:ind w:left="714" w:hanging="357"/>
        <w:jc w:val="both"/>
      </w:pPr>
      <w:r w:rsidRPr="000D1F11">
        <w:t xml:space="preserve">Stowarzyszenie Notariuszy Rzeczypospolitej Polskiej, </w:t>
      </w:r>
    </w:p>
    <w:p w:rsidR="000D1F11" w:rsidRPr="000D1F11" w:rsidRDefault="000D1F11" w:rsidP="00DB530E">
      <w:pPr>
        <w:numPr>
          <w:ilvl w:val="0"/>
          <w:numId w:val="1"/>
        </w:numPr>
        <w:spacing w:after="0"/>
        <w:ind w:left="714" w:hanging="357"/>
        <w:jc w:val="both"/>
      </w:pPr>
      <w:r w:rsidRPr="000D1F11">
        <w:t xml:space="preserve">Stowarzyszenie Sieć Obywatelska – Watchdog Polska, </w:t>
      </w:r>
    </w:p>
    <w:p w:rsidR="000D1F11" w:rsidRPr="000D1F11" w:rsidRDefault="000D1F11" w:rsidP="00DB530E">
      <w:pPr>
        <w:numPr>
          <w:ilvl w:val="0"/>
          <w:numId w:val="1"/>
        </w:numPr>
        <w:spacing w:after="0"/>
        <w:ind w:left="714" w:hanging="357"/>
        <w:jc w:val="both"/>
      </w:pPr>
      <w:r w:rsidRPr="000D1F11">
        <w:t xml:space="preserve">Stowarzyszenia Urzędników Stanu Cywilnego Rzeczypospolitej Polskiej, </w:t>
      </w:r>
    </w:p>
    <w:p w:rsidR="000D1F11" w:rsidRPr="000D1F11" w:rsidRDefault="000D1F11" w:rsidP="00DB530E">
      <w:pPr>
        <w:numPr>
          <w:ilvl w:val="0"/>
          <w:numId w:val="1"/>
        </w:numPr>
        <w:spacing w:after="0"/>
        <w:ind w:left="714" w:hanging="357"/>
        <w:jc w:val="both"/>
      </w:pPr>
      <w:r w:rsidRPr="000D1F11">
        <w:t>Związek Banków Polskich,</w:t>
      </w:r>
    </w:p>
    <w:p w:rsidR="000D1F11" w:rsidRPr="000D1F11" w:rsidRDefault="000D1F11" w:rsidP="00DB530E">
      <w:pPr>
        <w:numPr>
          <w:ilvl w:val="0"/>
          <w:numId w:val="1"/>
        </w:numPr>
        <w:spacing w:after="0"/>
        <w:ind w:left="714" w:hanging="357"/>
        <w:jc w:val="both"/>
      </w:pPr>
      <w:r w:rsidRPr="000D1F11">
        <w:t>Konfederacja Lewiatan,</w:t>
      </w:r>
    </w:p>
    <w:p w:rsidR="000D1F11" w:rsidRPr="000D1F11" w:rsidRDefault="000D1F11" w:rsidP="00DB530E">
      <w:pPr>
        <w:numPr>
          <w:ilvl w:val="0"/>
          <w:numId w:val="1"/>
        </w:numPr>
        <w:spacing w:after="0"/>
        <w:ind w:left="714" w:hanging="357"/>
        <w:jc w:val="both"/>
      </w:pPr>
      <w:r w:rsidRPr="000D1F11">
        <w:t xml:space="preserve">Sekretariat Konferencji Episkopatu Polski, </w:t>
      </w:r>
    </w:p>
    <w:p w:rsidR="000D1F11" w:rsidRPr="000D1F11" w:rsidRDefault="000D1F11" w:rsidP="00DB530E">
      <w:pPr>
        <w:numPr>
          <w:ilvl w:val="0"/>
          <w:numId w:val="1"/>
        </w:numPr>
        <w:spacing w:after="0"/>
        <w:ind w:left="714" w:hanging="357"/>
        <w:jc w:val="both"/>
      </w:pPr>
      <w:r w:rsidRPr="000D1F11">
        <w:t xml:space="preserve">Polska Rada Ekumeniczna, </w:t>
      </w:r>
    </w:p>
    <w:p w:rsidR="000D1F11" w:rsidRPr="000D1F11" w:rsidRDefault="000D1F11" w:rsidP="00DB530E">
      <w:pPr>
        <w:numPr>
          <w:ilvl w:val="0"/>
          <w:numId w:val="1"/>
        </w:numPr>
        <w:spacing w:after="0"/>
        <w:ind w:left="714" w:hanging="357"/>
        <w:jc w:val="both"/>
      </w:pPr>
      <w:r w:rsidRPr="000D1F11">
        <w:t xml:space="preserve">Alians Ewangeliczny w RP, </w:t>
      </w:r>
    </w:p>
    <w:p w:rsidR="000D1F11" w:rsidRPr="000D1F11" w:rsidRDefault="000D1F11" w:rsidP="00DB530E">
      <w:pPr>
        <w:numPr>
          <w:ilvl w:val="0"/>
          <w:numId w:val="1"/>
        </w:numPr>
        <w:spacing w:after="0"/>
        <w:ind w:left="714" w:hanging="357"/>
        <w:jc w:val="both"/>
      </w:pPr>
      <w:r w:rsidRPr="000D1F11">
        <w:t>Muzułmański Związek Religijny w RP,</w:t>
      </w:r>
    </w:p>
    <w:p w:rsidR="000D1F11" w:rsidRDefault="000D1F11" w:rsidP="00DB530E">
      <w:pPr>
        <w:numPr>
          <w:ilvl w:val="0"/>
          <w:numId w:val="1"/>
        </w:numPr>
        <w:spacing w:after="0"/>
        <w:ind w:left="714" w:hanging="357"/>
        <w:jc w:val="both"/>
      </w:pPr>
      <w:r w:rsidRPr="000D1F11">
        <w:t xml:space="preserve">Związek Gmin Wyznaniowych Żydowskich w RP.  </w:t>
      </w:r>
    </w:p>
    <w:p w:rsidR="00C3592E" w:rsidRPr="000D1F11" w:rsidRDefault="00C3592E" w:rsidP="00DB530E">
      <w:pPr>
        <w:ind w:left="360"/>
        <w:jc w:val="both"/>
      </w:pPr>
    </w:p>
    <w:p w:rsidR="000D1F11" w:rsidRPr="000D1F11" w:rsidRDefault="000D1F11" w:rsidP="007C1C83">
      <w:pPr>
        <w:jc w:val="both"/>
      </w:pPr>
      <w:r w:rsidRPr="000D1F11">
        <w:lastRenderedPageBreak/>
        <w:t xml:space="preserve">Projekt ustawy został skierowany </w:t>
      </w:r>
      <w:r w:rsidRPr="00C3592E">
        <w:rPr>
          <w:u w:val="single"/>
        </w:rPr>
        <w:t>do opiniowania</w:t>
      </w:r>
      <w:r w:rsidRPr="000D1F11">
        <w:t xml:space="preserve"> </w:t>
      </w:r>
      <w:r w:rsidR="00C3592E">
        <w:t xml:space="preserve">na okres 14 dni </w:t>
      </w:r>
      <w:r w:rsidRPr="000D1F11">
        <w:t xml:space="preserve">do następujących podmiotów: </w:t>
      </w:r>
    </w:p>
    <w:p w:rsidR="000D1F11" w:rsidRPr="000D1F11" w:rsidRDefault="000D1F11" w:rsidP="00DB530E">
      <w:pPr>
        <w:numPr>
          <w:ilvl w:val="0"/>
          <w:numId w:val="2"/>
        </w:numPr>
        <w:spacing w:after="0"/>
        <w:ind w:left="714" w:hanging="357"/>
        <w:jc w:val="both"/>
      </w:pPr>
      <w:r w:rsidRPr="000D1F11">
        <w:t xml:space="preserve">Główny Urząd Statystyczny, </w:t>
      </w:r>
    </w:p>
    <w:p w:rsidR="000D1F11" w:rsidRPr="000D1F11" w:rsidRDefault="000D1F11" w:rsidP="00DB530E">
      <w:pPr>
        <w:numPr>
          <w:ilvl w:val="0"/>
          <w:numId w:val="2"/>
        </w:numPr>
        <w:spacing w:after="0"/>
        <w:ind w:left="714" w:hanging="357"/>
        <w:jc w:val="both"/>
      </w:pPr>
      <w:r w:rsidRPr="000D1F11">
        <w:t xml:space="preserve">Polski Komitet Normalizacyjny, </w:t>
      </w:r>
    </w:p>
    <w:p w:rsidR="000D1F11" w:rsidRPr="000D1F11" w:rsidRDefault="000D1F11" w:rsidP="00DB530E">
      <w:pPr>
        <w:numPr>
          <w:ilvl w:val="0"/>
          <w:numId w:val="2"/>
        </w:numPr>
        <w:spacing w:after="0"/>
        <w:ind w:left="714" w:hanging="357"/>
        <w:jc w:val="both"/>
      </w:pPr>
      <w:r w:rsidRPr="000D1F11">
        <w:t xml:space="preserve">Zakład Ubezpieczeń Społecznych, </w:t>
      </w:r>
    </w:p>
    <w:p w:rsidR="000D1F11" w:rsidRPr="000D1F11" w:rsidRDefault="000D1F11" w:rsidP="00DB530E">
      <w:pPr>
        <w:numPr>
          <w:ilvl w:val="0"/>
          <w:numId w:val="2"/>
        </w:numPr>
        <w:spacing w:after="0"/>
        <w:ind w:left="714" w:hanging="357"/>
        <w:jc w:val="both"/>
      </w:pPr>
      <w:r w:rsidRPr="000D1F11">
        <w:t xml:space="preserve">Narodowy Fundusz Zdrowia, </w:t>
      </w:r>
    </w:p>
    <w:p w:rsidR="000D1F11" w:rsidRPr="000D1F11" w:rsidRDefault="000D1F11" w:rsidP="00DB530E">
      <w:pPr>
        <w:numPr>
          <w:ilvl w:val="0"/>
          <w:numId w:val="2"/>
        </w:numPr>
        <w:spacing w:after="0"/>
        <w:ind w:left="714" w:hanging="357"/>
        <w:jc w:val="both"/>
      </w:pPr>
      <w:r w:rsidRPr="000D1F11">
        <w:t xml:space="preserve">Kasa Rolniczego Ubezpieczenia Społecznego, </w:t>
      </w:r>
    </w:p>
    <w:p w:rsidR="000D1F11" w:rsidRPr="000D1F11" w:rsidRDefault="000D1F11" w:rsidP="00DB530E">
      <w:pPr>
        <w:numPr>
          <w:ilvl w:val="0"/>
          <w:numId w:val="2"/>
        </w:numPr>
        <w:spacing w:after="0"/>
        <w:ind w:left="714" w:hanging="357"/>
        <w:jc w:val="both"/>
      </w:pPr>
      <w:r w:rsidRPr="000D1F11">
        <w:t xml:space="preserve">Prezes Urzędu Ochrony Danych Osobowych, </w:t>
      </w:r>
    </w:p>
    <w:p w:rsidR="000D1F11" w:rsidRPr="000D1F11" w:rsidRDefault="000D1F11" w:rsidP="00DB530E">
      <w:pPr>
        <w:numPr>
          <w:ilvl w:val="0"/>
          <w:numId w:val="2"/>
        </w:numPr>
        <w:spacing w:after="0"/>
        <w:ind w:left="714" w:hanging="357"/>
        <w:jc w:val="both"/>
      </w:pPr>
      <w:r w:rsidRPr="000D1F11">
        <w:t xml:space="preserve">Krajowa Izba Radców Prawnych, </w:t>
      </w:r>
    </w:p>
    <w:p w:rsidR="000D1F11" w:rsidRPr="000D1F11" w:rsidRDefault="000D1F11" w:rsidP="00DB530E">
      <w:pPr>
        <w:numPr>
          <w:ilvl w:val="0"/>
          <w:numId w:val="2"/>
        </w:numPr>
        <w:spacing w:after="0"/>
        <w:ind w:left="714" w:hanging="357"/>
        <w:jc w:val="both"/>
      </w:pPr>
      <w:r w:rsidRPr="000D1F11">
        <w:t xml:space="preserve">Krajowa Rada Komornicza, </w:t>
      </w:r>
    </w:p>
    <w:p w:rsidR="000D1F11" w:rsidRPr="000D1F11" w:rsidRDefault="000D1F11" w:rsidP="00DB530E">
      <w:pPr>
        <w:numPr>
          <w:ilvl w:val="0"/>
          <w:numId w:val="2"/>
        </w:numPr>
        <w:spacing w:after="0"/>
        <w:ind w:left="714" w:hanging="357"/>
        <w:jc w:val="both"/>
      </w:pPr>
      <w:r w:rsidRPr="000D1F11">
        <w:t xml:space="preserve">Naczelna Rada Adwokacka, </w:t>
      </w:r>
    </w:p>
    <w:p w:rsidR="000D1F11" w:rsidRPr="000D1F11" w:rsidRDefault="000D1F11" w:rsidP="00DB530E">
      <w:pPr>
        <w:numPr>
          <w:ilvl w:val="0"/>
          <w:numId w:val="2"/>
        </w:numPr>
        <w:spacing w:after="0"/>
        <w:ind w:left="714" w:hanging="357"/>
        <w:jc w:val="both"/>
      </w:pPr>
      <w:r w:rsidRPr="000D1F11">
        <w:t xml:space="preserve">Krajowa Rada Notarialna, </w:t>
      </w:r>
    </w:p>
    <w:p w:rsidR="000D1F11" w:rsidRPr="000D1F11" w:rsidRDefault="000D1F11" w:rsidP="00DB530E">
      <w:pPr>
        <w:numPr>
          <w:ilvl w:val="0"/>
          <w:numId w:val="2"/>
        </w:numPr>
        <w:spacing w:after="0"/>
        <w:ind w:left="714" w:hanging="357"/>
        <w:jc w:val="both"/>
      </w:pPr>
      <w:r w:rsidRPr="000D1F11">
        <w:t xml:space="preserve">Rada do spraw Cyfryzacji, </w:t>
      </w:r>
    </w:p>
    <w:p w:rsidR="000D1F11" w:rsidRPr="000D1F11" w:rsidRDefault="000D1F11" w:rsidP="00DB530E">
      <w:pPr>
        <w:numPr>
          <w:ilvl w:val="0"/>
          <w:numId w:val="2"/>
        </w:numPr>
        <w:spacing w:after="0"/>
        <w:ind w:left="714" w:hanging="357"/>
        <w:jc w:val="both"/>
      </w:pPr>
      <w:r w:rsidRPr="000D1F11">
        <w:t xml:space="preserve">Pełnomocnik Rządu do Spraw Osób Niepełnosprawnych, </w:t>
      </w:r>
    </w:p>
    <w:p w:rsidR="000D1F11" w:rsidRPr="000D1F11" w:rsidRDefault="000D1F11" w:rsidP="00DB530E">
      <w:pPr>
        <w:numPr>
          <w:ilvl w:val="0"/>
          <w:numId w:val="2"/>
        </w:numPr>
        <w:spacing w:after="0"/>
        <w:ind w:left="714" w:hanging="357"/>
        <w:jc w:val="both"/>
      </w:pPr>
      <w:r w:rsidRPr="000D1F11">
        <w:t xml:space="preserve">Prezes Urzędu Zamówień Publicznych, </w:t>
      </w:r>
    </w:p>
    <w:p w:rsidR="000D1F11" w:rsidRPr="000D1F11" w:rsidRDefault="000D1F11" w:rsidP="00DB530E">
      <w:pPr>
        <w:numPr>
          <w:ilvl w:val="0"/>
          <w:numId w:val="2"/>
        </w:numPr>
        <w:spacing w:after="0"/>
        <w:ind w:left="714" w:hanging="357"/>
        <w:jc w:val="both"/>
      </w:pPr>
      <w:r w:rsidRPr="000D1F11">
        <w:t>Prezes Urzędu Ochrony Konkurencji i Konsumentów,</w:t>
      </w:r>
    </w:p>
    <w:p w:rsidR="000D1F11" w:rsidRPr="000D1F11" w:rsidRDefault="000D1F11" w:rsidP="00DB530E">
      <w:pPr>
        <w:numPr>
          <w:ilvl w:val="0"/>
          <w:numId w:val="2"/>
        </w:numPr>
        <w:spacing w:after="0"/>
        <w:ind w:left="714" w:hanging="357"/>
        <w:jc w:val="both"/>
      </w:pPr>
      <w:r w:rsidRPr="000D1F11">
        <w:t>Rzecznik Praw Obywatelskich,</w:t>
      </w:r>
    </w:p>
    <w:p w:rsidR="000D1F11" w:rsidRPr="000D1F11" w:rsidRDefault="000D1F11" w:rsidP="00DB530E">
      <w:pPr>
        <w:numPr>
          <w:ilvl w:val="0"/>
          <w:numId w:val="2"/>
        </w:numPr>
        <w:spacing w:after="0"/>
        <w:ind w:left="714" w:hanging="357"/>
        <w:jc w:val="both"/>
      </w:pPr>
      <w:r w:rsidRPr="000D1F11">
        <w:t xml:space="preserve">Szef Kancelarii Prezydenta RP, </w:t>
      </w:r>
    </w:p>
    <w:p w:rsidR="000D1F11" w:rsidRPr="000D1F11" w:rsidRDefault="000D1F11" w:rsidP="00DB530E">
      <w:pPr>
        <w:numPr>
          <w:ilvl w:val="0"/>
          <w:numId w:val="2"/>
        </w:numPr>
        <w:spacing w:after="0"/>
        <w:ind w:left="714" w:hanging="357"/>
        <w:jc w:val="both"/>
      </w:pPr>
      <w:r w:rsidRPr="000D1F11">
        <w:t>Rzecznik Praw Dziecka,</w:t>
      </w:r>
    </w:p>
    <w:p w:rsidR="000D1F11" w:rsidRDefault="000D1F11" w:rsidP="00DB530E">
      <w:pPr>
        <w:numPr>
          <w:ilvl w:val="0"/>
          <w:numId w:val="2"/>
        </w:numPr>
        <w:spacing w:after="0"/>
        <w:ind w:left="714" w:hanging="357"/>
        <w:jc w:val="both"/>
      </w:pPr>
      <w:r w:rsidRPr="000D1F11">
        <w:t>Wojewodowie.</w:t>
      </w:r>
    </w:p>
    <w:p w:rsidR="00DB530E" w:rsidRDefault="00DB530E" w:rsidP="00DB530E">
      <w:pPr>
        <w:spacing w:after="0"/>
        <w:ind w:left="714"/>
        <w:jc w:val="both"/>
      </w:pPr>
    </w:p>
    <w:p w:rsidR="00C3592E" w:rsidRDefault="00C3592E" w:rsidP="00C3592E">
      <w:pPr>
        <w:jc w:val="both"/>
      </w:pPr>
      <w:r>
        <w:t>Projekt ustawy został również przekazany do zaopiniowania przez Komisję Wspólną Rządu i Samorządu Terytorialnego.</w:t>
      </w:r>
    </w:p>
    <w:p w:rsidR="00C3592E" w:rsidRDefault="00C3592E" w:rsidP="00C3592E">
      <w:pPr>
        <w:spacing w:before="120"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3. Omówienie wyników przeprowadzonych konsultacji publicznych i opiniowania</w:t>
      </w:r>
    </w:p>
    <w:p w:rsidR="006E0881" w:rsidRPr="00C3592E" w:rsidRDefault="006E0881" w:rsidP="007C1C83">
      <w:pPr>
        <w:jc w:val="both"/>
      </w:pPr>
      <w:r w:rsidRPr="00C3592E">
        <w:t>Opinie do projektu przedstawili:</w:t>
      </w:r>
    </w:p>
    <w:p w:rsidR="007C1C83" w:rsidRPr="00692DDB" w:rsidRDefault="00D64680" w:rsidP="007C1C83">
      <w:pPr>
        <w:jc w:val="both"/>
        <w:rPr>
          <w:u w:val="single"/>
        </w:rPr>
      </w:pPr>
      <w:r w:rsidRPr="00692DDB">
        <w:rPr>
          <w:u w:val="single"/>
        </w:rPr>
        <w:t>Wojewoda Małopolski, Wojewoda Podlaski, Wo</w:t>
      </w:r>
      <w:r w:rsidR="00FF48C7" w:rsidRPr="00692DDB">
        <w:rPr>
          <w:u w:val="single"/>
        </w:rPr>
        <w:t>je</w:t>
      </w:r>
      <w:r w:rsidRPr="00692DDB">
        <w:rPr>
          <w:u w:val="single"/>
        </w:rPr>
        <w:t xml:space="preserve">woda </w:t>
      </w:r>
      <w:r w:rsidR="00FF48C7" w:rsidRPr="00692DDB">
        <w:rPr>
          <w:u w:val="single"/>
        </w:rPr>
        <w:t>Lubuski, Wojewoda Dolnośląski, Wojewoda Wielkopolski, Wojewoda Śląski, Wojewoda Kujawsko-Pomorski, Stowarzyszenie Notariuszy RP, Polski Związek Instytucji Pożyczkowych, Polska Izba Informatyki I Telekomunikacji (PIIT)</w:t>
      </w:r>
      <w:r w:rsidR="007C1C83" w:rsidRPr="00692DDB">
        <w:rPr>
          <w:u w:val="single"/>
        </w:rPr>
        <w:t>.</w:t>
      </w:r>
    </w:p>
    <w:p w:rsidR="00D64680" w:rsidRDefault="007C1C83" w:rsidP="007C1C83">
      <w:pPr>
        <w:jc w:val="both"/>
      </w:pPr>
      <w:r w:rsidRPr="007C1C83">
        <w:t xml:space="preserve">Większość uwag </w:t>
      </w:r>
      <w:r w:rsidR="00BF0385">
        <w:t>w</w:t>
      </w:r>
      <w:r w:rsidRPr="007C1C83">
        <w:t xml:space="preserve">ojewodów nie </w:t>
      </w:r>
      <w:r w:rsidR="00BF0385">
        <w:t xml:space="preserve">miała istotnego wpływu </w:t>
      </w:r>
      <w:r w:rsidRPr="007C1C83">
        <w:t xml:space="preserve">na przyjęte rozwiązania, uwagi miały charakter legislacyjno-redakcyjny oraz doprecyzowujący. </w:t>
      </w:r>
      <w:r w:rsidR="00BF0385">
        <w:t>Uwzględniono uwagi</w:t>
      </w:r>
      <w:r w:rsidRPr="007C1C83">
        <w:t xml:space="preserve">, które </w:t>
      </w:r>
      <w:r w:rsidR="00D4754B">
        <w:t xml:space="preserve">poprawiły </w:t>
      </w:r>
      <w:r w:rsidRPr="007C1C83">
        <w:t>czytelność projektu ustawy.</w:t>
      </w:r>
      <w:r w:rsidR="00FF48C7">
        <w:t xml:space="preserve"> </w:t>
      </w:r>
    </w:p>
    <w:p w:rsidR="00A37D0F" w:rsidRDefault="00FF48C7" w:rsidP="00A37D0F">
      <w:pPr>
        <w:jc w:val="both"/>
        <w:rPr>
          <w:rFonts w:eastAsia="Calibri"/>
        </w:rPr>
      </w:pPr>
      <w:r w:rsidRPr="00983C75">
        <w:rPr>
          <w:u w:val="single"/>
        </w:rPr>
        <w:t>Wojewodowie Śląski i Dolnośląski</w:t>
      </w:r>
      <w:r>
        <w:t xml:space="preserve"> zgłosili </w:t>
      </w:r>
      <w:r w:rsidR="007C1C83">
        <w:t xml:space="preserve">propozycję </w:t>
      </w:r>
      <w:r>
        <w:t xml:space="preserve">wydawania dowodów osobistych z dłuższym niż 10 lat terminem ważności dla osób, które ukończyły 70 rok życia. </w:t>
      </w:r>
      <w:r w:rsidR="007C1C83">
        <w:t>Niemniej w</w:t>
      </w:r>
      <w:r>
        <w:t xml:space="preserve"> chwili obecnej nie wydaje się możliwe wprowadzenie takiego rozwiązania z punktu widzenia zamieszczonych w warstwie elektronicznej dowodu osobistego certyfikatów i z uwagi na wykorzystywanie dowodu osobistego jako nośnika certyfikatu kwalifikowanego, gdyż wymagane jest zachowanie </w:t>
      </w:r>
      <w:r w:rsidR="00CA2F58">
        <w:t xml:space="preserve">zgodności </w:t>
      </w:r>
      <w:r>
        <w:t>warstwy elektronicznej z wymaganiami rozporządzenia Parlamentu Europejskiego i Rady (UE) nr 910/2014 (eIDAS). Ponadto wymagania Organizacji Międzynarodowego Lotnictwa Cywilnego (ICAO) wiążą okres ważności warstwy elektronicznej z ważnością dokumentu. Z tego względu wydłużenie okresu ważności certyfikatów na okres dłuższy niż 10 lat w zakresie w jakim są wymagane dla uwierzytelnienia danych w warstwie elektronicznej byłoby obarczone dużym poziomem niepewności. Dodatkowo należy wskazać, że obecnie dowody osobiste personalizowane są na blankietach, których gwarancja wynosi 10 lat. Wydłużenie ważności dowodów osobistych wymaga</w:t>
      </w:r>
      <w:r w:rsidR="007C1C83">
        <w:t xml:space="preserve">łaby </w:t>
      </w:r>
      <w:r>
        <w:t>zatem analizy również pod kątem trwałości blankietu.</w:t>
      </w:r>
      <w:r w:rsidR="00A37D0F">
        <w:t xml:space="preserve"> Jednocześnie należy mieć na względzie aspekt weryfikacji tożsamości posiadacza dokumentu. U</w:t>
      </w:r>
      <w:r w:rsidR="00A37D0F">
        <w:rPr>
          <w:rFonts w:eastAsia="Calibri"/>
        </w:rPr>
        <w:t xml:space="preserve">pływ czasu powoduje w mniejszym lub większym stopniu zmianę wyglądu osoby, a to przyczynia się do utraty aktualności zdjęcia. Biorąc pod uwagę, że dowód osobisty służy do weryfikacji </w:t>
      </w:r>
      <w:r w:rsidR="00A37D0F">
        <w:rPr>
          <w:rFonts w:eastAsia="Calibri"/>
        </w:rPr>
        <w:lastRenderedPageBreak/>
        <w:t>tożsamości osoby, tożsamość zaś może zostać zweryfikowana poprzez porównanie powierzchowności osoby legitymującej się dowodem osobistym ze zdjęciem znajdującym się w dokumencie, przedłużenie okresu ważności dowodu może utrudniać taką weryfikację.</w:t>
      </w:r>
    </w:p>
    <w:p w:rsidR="00692DDB" w:rsidRDefault="00692DDB" w:rsidP="00692DDB">
      <w:pPr>
        <w:jc w:val="both"/>
      </w:pPr>
      <w:r w:rsidRPr="00983C75">
        <w:rPr>
          <w:u w:val="single"/>
        </w:rPr>
        <w:t>Wojewoda Małopolski, Podlaski i Lubuski</w:t>
      </w:r>
      <w:r>
        <w:t xml:space="preserve"> zakwestionowali przewidzianą na dwie godziny czasochłonność  zadania polegającego na wydaniu dowodu w miejscu zamieszkania osoby wnioskującej o wydanie tego dokumentu, podnosząc, że ten czas może nie być wystarczający w sytuacji znacznego oddalenia miejsca pobytu wnioskodawcy od siedziby urzędu. Wyjaśniono, że wartość dwóch godzin została ustalona jako uśredniona wartość wszystkich czynności związanych z wydaniem dowodu poza urzędem. Wydanie dowodu osobistego ma się bilansować w ramach wszystki</w:t>
      </w:r>
      <w:r w:rsidR="00983C75">
        <w:t>ch</w:t>
      </w:r>
      <w:r>
        <w:t xml:space="preserve"> zrealizowanych zadań przez organ gminy (w jednym przypadku może to być 1 godz., a w niektórych 2 godz. i 10 min). Organ gminy realizujący zadanie wydanie dowodu osobistego poza urzędem powinien organizować pracę, tak aby, o ile to możliwe, łączyć wyjazdy do miejsca pobytu osoby (np. przyjęcie wniosku w jednym czasie od dwóch osób przebywających w zakładzie karnym).</w:t>
      </w:r>
      <w:r w:rsidR="00201126">
        <w:t xml:space="preserve"> Obecnie fun</w:t>
      </w:r>
      <w:r>
        <w:t>kcjonuje jedno zadanie – wydanie dowodu osobistego, które obejmuje zarówno wydanie dowodu osobistego w urzędzie jak i poza urzędem, co oznacza, że wszystko to powinno się bilansować w czasochłonności wynoszącej 30 min. Wydzielenie nowego zadania powinno być korzystne dla organów gmin, które faktycznie będą realizowały to zadanie.</w:t>
      </w:r>
    </w:p>
    <w:p w:rsidR="00A37D0F" w:rsidRDefault="00A37D0F" w:rsidP="00A37D0F">
      <w:pPr>
        <w:jc w:val="both"/>
      </w:pPr>
      <w:r w:rsidRPr="00BF0385">
        <w:rPr>
          <w:u w:val="single"/>
        </w:rPr>
        <w:t>Prezes Urzędu Ochrony Danych Osobowych</w:t>
      </w:r>
      <w:r>
        <w:t xml:space="preserve"> nie zgłosił uwag do projektu, pozytywnie ocenił kierunek zmian związanych ze zgłaszaniem nieuprawnionego wykorzystania danych posiadacza dowodu osobistego oraz przeniesienia niektórych regulacji z rozporządzenia do ustawy.</w:t>
      </w:r>
    </w:p>
    <w:p w:rsidR="00DB530E" w:rsidRDefault="00201126" w:rsidP="00DB530E">
      <w:pPr>
        <w:jc w:val="both"/>
      </w:pPr>
      <w:r w:rsidRPr="00983C75">
        <w:rPr>
          <w:u w:val="single"/>
        </w:rPr>
        <w:t>Stowarzyszenie Notariuszy RP</w:t>
      </w:r>
      <w:r>
        <w:t xml:space="preserve"> zgłosiło potrzebę skrócenia do 5 lat terminu ważności dowodów osobistych wydawanych osobom do 15. roku życia celem ułatwienia potwierdzenia tożsamości osoby, której największe zmiany w wyglądzie zachodzą przed 20 rokiem życia. Nie uwzględniono tej uwagi wskazując, że </w:t>
      </w:r>
      <w:r w:rsidR="00F1771A">
        <w:t xml:space="preserve">pięcioletni termin ważności </w:t>
      </w:r>
      <w:r w:rsidRPr="00201126">
        <w:t xml:space="preserve">będą posiadały dowody osobiste wydawane osobom do 12 roku życia. Przepisy te skorelowane są z przepisami stanowiącymi o wymogu pobierania odcisków palców od osób od 12. roku życia. </w:t>
      </w:r>
      <w:r w:rsidR="00F1771A">
        <w:t xml:space="preserve">Projektując te przepisy uwzględniono też, </w:t>
      </w:r>
      <w:r w:rsidRPr="00201126">
        <w:t>że posiadanie dowodu osobistego przez osoby, które nie ukończyły 18. roku życia nie jest obowiązkowe</w:t>
      </w:r>
      <w:r w:rsidR="00F1771A">
        <w:t>.</w:t>
      </w:r>
      <w:r w:rsidR="00983C75">
        <w:t xml:space="preserve"> </w:t>
      </w:r>
      <w:r w:rsidR="00F1771A">
        <w:t xml:space="preserve">Stowarzyszenie Notariuszy RP zwróciło też uwagę na potrzebę niezwłocznego informowania przez sądy </w:t>
      </w:r>
      <w:r w:rsidR="00F1771A" w:rsidRPr="00F1771A">
        <w:t>wydając</w:t>
      </w:r>
      <w:r w:rsidR="00F1771A">
        <w:t>e</w:t>
      </w:r>
      <w:r w:rsidR="00F1771A" w:rsidRPr="00F1771A">
        <w:t xml:space="preserve"> postanowienie o ubezwłasnowolnieniu częściowym lub całkowitym</w:t>
      </w:r>
      <w:r w:rsidR="00F1771A">
        <w:t xml:space="preserve">, dowolnego organu gminy </w:t>
      </w:r>
      <w:r w:rsidR="00A37D0F">
        <w:t>o </w:t>
      </w:r>
      <w:r w:rsidR="00F1771A" w:rsidRPr="00F1771A">
        <w:t>ubezwłasnowolnieniu całkowitym lub częściowym przesyłając odpis prawomocnego orzeczenia sądu w tej sprawie</w:t>
      </w:r>
      <w:r w:rsidR="003B6C8F">
        <w:t xml:space="preserve">. Zdaniem Stowarzyszenia </w:t>
      </w:r>
      <w:r w:rsidR="00F1771A" w:rsidRPr="00F1771A">
        <w:t xml:space="preserve">nie zawsze kuratorami lub opiekunami są osoby znające przepisy i nie zawsze dopełnią ten obowiązek, bo mogą o nim po prostu nie wiedzieć. </w:t>
      </w:r>
      <w:r w:rsidR="00DB530E">
        <w:t xml:space="preserve">Wyjaśniono, że projektowana ustawa nie wprowadza nowego obowiązku dla kuratora lub opiekuna prawnego powiadamiania organu dowolnej gminy o ubezwłasnowolnieniu </w:t>
      </w:r>
      <w:r w:rsidR="00A37D0F">
        <w:t>posiadacza dowodu osobistego, a </w:t>
      </w:r>
      <w:r w:rsidR="00DB530E">
        <w:t>jedynie dokonuje zmian w tym zakresie, gdyż obowiązujące przepisy wskazują, że obowiązek ten dotyczy jedynie sytuacji, kiedy nastąpiło ubezwłasnowolnienie całkowite lub częściowe posiadacza dowodu osobistego, w którego dowodzie osobistym został zamieszczony certyfikat podpisu osobistego. Natomiast dowód osobisty wydawany osobom posiadającym pełną albo ograniczoną zdolność do czynności prawnych zawsze zawiera certyfikat identyfikacji i uwierzytelnienia. Dowód osobisty wydany osobie nieposiadającej zdolności do czynności prawnych może zawierać jedynie certyfikat potwierdzenia obecności. Z tego powodu konieczne jest dokonanie projektowanych zmian. Dodatkowo należy mieć na uwadze, że udział kuratora lub opiekuna prawnego w takich sytuacjach jest niezbędny ze względu na konieczność złożenia nowego wniosku o wydanie dowodu osobistego.</w:t>
      </w:r>
    </w:p>
    <w:p w:rsidR="00983C75" w:rsidRDefault="00983C75" w:rsidP="00983C75">
      <w:pPr>
        <w:jc w:val="both"/>
      </w:pPr>
      <w:r w:rsidRPr="00983C75">
        <w:rPr>
          <w:u w:val="single"/>
        </w:rPr>
        <w:t>Polski Związek Instytucji Pożyczkowych</w:t>
      </w:r>
      <w:r w:rsidR="00BD0F3E" w:rsidRPr="00DB530E">
        <w:t xml:space="preserve"> </w:t>
      </w:r>
      <w:r w:rsidR="00BD0F3E">
        <w:t xml:space="preserve">wystąpił z postulatem umożliwienia instytucjom pozabankowym </w:t>
      </w:r>
      <w:r w:rsidR="00BD0F3E" w:rsidRPr="00BD0F3E">
        <w:t xml:space="preserve">automatycznego wykorzystywania </w:t>
      </w:r>
      <w:r w:rsidR="00BD0F3E">
        <w:t xml:space="preserve">danych </w:t>
      </w:r>
      <w:r w:rsidR="00BD0F3E" w:rsidRPr="00BD0F3E">
        <w:t xml:space="preserve">zgormadzonych w Rejestrze PESEL oraz Rejestrze Dowodów Osobistych, celem zwiększenia pewności i bezpieczeństwa obrotu na rynku </w:t>
      </w:r>
      <w:r w:rsidR="00BD0F3E" w:rsidRPr="00BD0F3E">
        <w:lastRenderedPageBreak/>
        <w:t>finansowym.</w:t>
      </w:r>
      <w:r w:rsidR="00BD0F3E">
        <w:t xml:space="preserve"> Wyjaśniono, że postulat ten wykracza poza zakres </w:t>
      </w:r>
      <w:r w:rsidR="00D4754B">
        <w:t xml:space="preserve">projektu </w:t>
      </w:r>
      <w:r w:rsidR="00BD0F3E">
        <w:t xml:space="preserve">i </w:t>
      </w:r>
      <w:r w:rsidR="00BD0F3E" w:rsidRPr="00BD0F3E">
        <w:t xml:space="preserve">wymaga </w:t>
      </w:r>
      <w:r w:rsidR="00BD0F3E">
        <w:t xml:space="preserve">analizy </w:t>
      </w:r>
      <w:r w:rsidR="00BD0F3E" w:rsidRPr="00BD0F3E">
        <w:t xml:space="preserve">przy współudziale ministra właściwego do spraw informatyzacji. </w:t>
      </w:r>
      <w:r w:rsidR="00BD0F3E">
        <w:t xml:space="preserve">Kwestia ta może </w:t>
      </w:r>
      <w:r w:rsidR="00BD0F3E" w:rsidRPr="00BD0F3E">
        <w:t>być przedmiotem odrębnych prac w późniejszym czasie.</w:t>
      </w:r>
    </w:p>
    <w:p w:rsidR="00983C75" w:rsidRDefault="00BD0F3E" w:rsidP="00983C75">
      <w:pPr>
        <w:jc w:val="both"/>
      </w:pPr>
      <w:r w:rsidRPr="00BD0F3E">
        <w:rPr>
          <w:u w:val="single"/>
        </w:rPr>
        <w:t>Polska Izba Informatyki I Telekomunikacji (PIIT</w:t>
      </w:r>
      <w:r w:rsidRPr="00BD0F3E">
        <w:t>)</w:t>
      </w:r>
      <w:r>
        <w:t xml:space="preserve"> zaproponowała </w:t>
      </w:r>
      <w:r w:rsidRPr="00BD0F3E">
        <w:t>zastąpieni</w:t>
      </w:r>
      <w:r>
        <w:t>e</w:t>
      </w:r>
      <w:r w:rsidRPr="00BD0F3E">
        <w:t xml:space="preserve"> postaci papierowej </w:t>
      </w:r>
      <w:r>
        <w:t>wniosku o wydanie dowodu osobistego</w:t>
      </w:r>
      <w:r w:rsidR="00D4754B">
        <w:t>,</w:t>
      </w:r>
      <w:r>
        <w:t xml:space="preserve"> </w:t>
      </w:r>
      <w:r w:rsidRPr="00BD0F3E">
        <w:t>postacią elektroniczną</w:t>
      </w:r>
      <w:r>
        <w:t xml:space="preserve">. Wyjaśniono, że taka zmiana </w:t>
      </w:r>
      <w:r w:rsidRPr="00BD0F3E">
        <w:t>wymagałoby szerszych zmian, poza proponowaną</w:t>
      </w:r>
      <w:r>
        <w:t xml:space="preserve">, wymagających dodatkowego finansowania, szczególnie, że </w:t>
      </w:r>
      <w:r w:rsidRPr="00BD0F3E">
        <w:t xml:space="preserve">nowy dowód osobisty będzie zawierał odwzorowanie podpisu posiadacza dokumentu. </w:t>
      </w:r>
    </w:p>
    <w:p w:rsidR="00BF0385" w:rsidRDefault="00BF0385" w:rsidP="00983C75">
      <w:pPr>
        <w:jc w:val="both"/>
      </w:pPr>
      <w:r w:rsidRPr="00BF0385">
        <w:rPr>
          <w:u w:val="single"/>
        </w:rPr>
        <w:t>Komisja Wspólna Rządu i Samorządu Terytorialnego</w:t>
      </w:r>
      <w:r>
        <w:t xml:space="preserve"> w dniu 28 października 2020 r. pozytywnie zaopiniowała projekt ustawy.</w:t>
      </w:r>
    </w:p>
    <w:p w:rsidR="00C3592E" w:rsidRDefault="00C3592E" w:rsidP="00C3592E">
      <w:pPr>
        <w:spacing w:before="120"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4. Przedstawienie wyników zasięgnięcia opinii, dokonania konsultacji albo uzgodnienia projektu z właściwymi organami i instytucjami Unii Europejskiej, w tym Europejskim Bankiem Centralnym</w:t>
      </w:r>
    </w:p>
    <w:p w:rsidR="00C3592E" w:rsidRPr="00A37D0F" w:rsidRDefault="00C3592E" w:rsidP="00C3592E">
      <w:pPr>
        <w:autoSpaceDE w:val="0"/>
        <w:autoSpaceDN w:val="0"/>
        <w:adjustRightInd w:val="0"/>
        <w:spacing w:before="120" w:after="120" w:line="240" w:lineRule="auto"/>
        <w:jc w:val="both"/>
      </w:pPr>
      <w:r w:rsidRPr="00A37D0F">
        <w:t>Projekt ustawy nie wymaga przedłożenia go właściwym instytucjom i organom Unii Europejskiej lub Europejskiemu Bankowi Centralnemu w celu uzyskania opinii, dokonania konsultacji lub uzgodnienia.</w:t>
      </w:r>
    </w:p>
    <w:p w:rsidR="00C3592E" w:rsidRDefault="00C3592E" w:rsidP="00C3592E">
      <w:pPr>
        <w:spacing w:before="120"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5. Wskazanie podmiotów, które zgłosiły zainteresowanie pracami nad projektem w trybie przepisów o działalności lobbingowej w procesie stanowienia prawa, wraz ze wskazaniem kolejności dokonania zgłoszeń albo informację o ich braku </w:t>
      </w:r>
    </w:p>
    <w:p w:rsidR="00C3592E" w:rsidRPr="00A37D0F" w:rsidRDefault="00C3592E" w:rsidP="00A37D0F">
      <w:pPr>
        <w:autoSpaceDE w:val="0"/>
        <w:autoSpaceDN w:val="0"/>
        <w:adjustRightInd w:val="0"/>
        <w:spacing w:before="120" w:after="120" w:line="240" w:lineRule="auto"/>
        <w:jc w:val="both"/>
      </w:pPr>
      <w:r w:rsidRPr="00A37D0F">
        <w:t>Nie odnotowano zgłoszeń zainteresowanych podmiotów w trybie przepisów o działalności lobbingowej w procesie stanowienia prawa.</w:t>
      </w:r>
    </w:p>
    <w:p w:rsidR="00C3592E" w:rsidRDefault="00C3592E" w:rsidP="007C1C83">
      <w:pPr>
        <w:jc w:val="both"/>
      </w:pPr>
    </w:p>
    <w:sectPr w:rsidR="00C359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8C5C22"/>
    <w:multiLevelType w:val="hybridMultilevel"/>
    <w:tmpl w:val="84A89F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B222D7"/>
    <w:multiLevelType w:val="hybridMultilevel"/>
    <w:tmpl w:val="87E4C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881"/>
    <w:rsid w:val="000D1F11"/>
    <w:rsid w:val="0017528D"/>
    <w:rsid w:val="00201126"/>
    <w:rsid w:val="003B6C8F"/>
    <w:rsid w:val="00635657"/>
    <w:rsid w:val="00692DDB"/>
    <w:rsid w:val="006E0881"/>
    <w:rsid w:val="007C1C83"/>
    <w:rsid w:val="008100C7"/>
    <w:rsid w:val="00983C75"/>
    <w:rsid w:val="00A37D0F"/>
    <w:rsid w:val="00B25957"/>
    <w:rsid w:val="00BD0F3E"/>
    <w:rsid w:val="00BF0385"/>
    <w:rsid w:val="00C3592E"/>
    <w:rsid w:val="00CA2F58"/>
    <w:rsid w:val="00CD5ACC"/>
    <w:rsid w:val="00D4754B"/>
    <w:rsid w:val="00D64680"/>
    <w:rsid w:val="00DB530E"/>
    <w:rsid w:val="00F1771A"/>
    <w:rsid w:val="00F73B3C"/>
    <w:rsid w:val="00FF4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F2002A-3356-4D29-86F2-47DC56398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6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8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2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1543</Words>
  <Characters>9260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10782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Hellich Mirosława</dc:creator>
  <cp:keywords/>
  <dc:description/>
  <cp:lastModifiedBy>Departament Prawny </cp:lastModifiedBy>
  <cp:revision>2</cp:revision>
  <dcterms:created xsi:type="dcterms:W3CDTF">2020-12-17T13:38:00Z</dcterms:created>
  <dcterms:modified xsi:type="dcterms:W3CDTF">2020-12-17T13:38:00Z</dcterms:modified>
</cp:coreProperties>
</file>